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8AB770E" w:rsidP="58AB770E" w:rsidRDefault="58AB770E" w14:paraId="41230C5E" w14:textId="5FD86DC0">
      <w:pPr>
        <w:rPr>
          <w:b w:val="1"/>
          <w:bCs w:val="1"/>
          <w:sz w:val="36"/>
          <w:szCs w:val="36"/>
          <w:u w:val="single"/>
        </w:rPr>
      </w:pPr>
    </w:p>
    <w:p w:rsidR="00D2084E" w:rsidRDefault="00000000" w14:paraId="48EBE19B" w14:textId="7777777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Physical Examples</w:t>
      </w:r>
    </w:p>
    <w:tbl>
      <w:tblPr>
        <w:tblStyle w:val="a"/>
        <w:tblW w:w="79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4605"/>
      </w:tblGrid>
      <w:tr w:rsidR="00D2084E" w14:paraId="6CF89535" w14:textId="77777777">
        <w:tc>
          <w:tcPr>
            <w:tcW w:w="3375" w:type="dxa"/>
          </w:tcPr>
          <w:p w:rsidR="00D2084E" w:rsidRDefault="00D2084E" w14:paraId="1C3ACEC1" w14:textId="77777777"/>
        </w:tc>
        <w:tc>
          <w:tcPr>
            <w:tcW w:w="4605" w:type="dxa"/>
          </w:tcPr>
          <w:p w:rsidR="00D2084E" w:rsidRDefault="00000000" w14:paraId="171A749E" w14:textId="77777777">
            <w:r>
              <w:t>Case study/ example</w:t>
            </w:r>
          </w:p>
        </w:tc>
      </w:tr>
      <w:tr w:rsidR="00D2084E" w14:paraId="45A65004" w14:textId="77777777">
        <w:trPr>
          <w:trHeight w:val="777"/>
        </w:trPr>
        <w:tc>
          <w:tcPr>
            <w:tcW w:w="3375" w:type="dxa"/>
            <w:vMerge w:val="restart"/>
          </w:tcPr>
          <w:p w:rsidR="00D2084E" w:rsidRDefault="00000000" w14:paraId="1780FAD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 xml:space="preserve">Natural Hazards – tectonic </w:t>
            </w:r>
          </w:p>
        </w:tc>
        <w:tc>
          <w:tcPr>
            <w:tcW w:w="4605" w:type="dxa"/>
          </w:tcPr>
          <w:p w:rsidR="00D2084E" w:rsidRDefault="00000000" w14:paraId="4A246CEA" w14:textId="77777777">
            <w:pPr>
              <w:rPr>
                <w:b/>
              </w:rPr>
            </w:pPr>
            <w:r>
              <w:rPr>
                <w:b/>
              </w:rPr>
              <w:t>Nepal - April 2015</w:t>
            </w:r>
          </w:p>
          <w:p w:rsidR="00D2084E" w:rsidRDefault="00000000" w14:paraId="7273202D" w14:textId="77777777">
            <w:pPr>
              <w:rPr>
                <w:b/>
              </w:rPr>
            </w:pPr>
            <w:r>
              <w:rPr>
                <w:b/>
              </w:rPr>
              <w:t>LIC</w:t>
            </w:r>
          </w:p>
        </w:tc>
      </w:tr>
      <w:tr w:rsidR="00D2084E" w14:paraId="3ABB556E" w14:textId="77777777">
        <w:tc>
          <w:tcPr>
            <w:tcW w:w="3375" w:type="dxa"/>
            <w:vMerge/>
          </w:tcPr>
          <w:p w:rsidR="00D2084E" w:rsidRDefault="00D2084E" w14:paraId="185872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05" w:type="dxa"/>
          </w:tcPr>
          <w:p w:rsidR="00D2084E" w:rsidRDefault="00000000" w14:paraId="141C83AA" w14:textId="777777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Chile - Feb. 2010</w:t>
            </w:r>
          </w:p>
          <w:p w:rsidR="00D2084E" w:rsidRDefault="00000000" w14:paraId="24F3DEE9" w14:textId="777777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HIC</w:t>
            </w:r>
          </w:p>
        </w:tc>
      </w:tr>
      <w:tr w:rsidR="00D2084E" w14:paraId="5C77270B" w14:textId="77777777">
        <w:tc>
          <w:tcPr>
            <w:tcW w:w="3375" w:type="dxa"/>
          </w:tcPr>
          <w:p w:rsidR="00D2084E" w:rsidRDefault="00000000" w14:paraId="3FC92D0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Natural Hazards - storms</w:t>
            </w:r>
          </w:p>
        </w:tc>
        <w:tc>
          <w:tcPr>
            <w:tcW w:w="4605" w:type="dxa"/>
          </w:tcPr>
          <w:p w:rsidR="00D2084E" w:rsidRDefault="00000000" w14:paraId="23D278F5" w14:textId="77777777">
            <w:pPr>
              <w:rPr>
                <w:b/>
              </w:rPr>
            </w:pPr>
            <w:r>
              <w:rPr>
                <w:b/>
              </w:rPr>
              <w:t>Typhoon Haiyan - Nov. 2013</w:t>
            </w:r>
          </w:p>
        </w:tc>
      </w:tr>
      <w:tr w:rsidR="00D2084E" w14:paraId="374A42F4" w14:textId="77777777">
        <w:tc>
          <w:tcPr>
            <w:tcW w:w="3375" w:type="dxa"/>
          </w:tcPr>
          <w:p w:rsidR="00D2084E" w:rsidRDefault="00000000" w14:paraId="6221BB3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UK extreme weather</w:t>
            </w:r>
          </w:p>
        </w:tc>
        <w:tc>
          <w:tcPr>
            <w:tcW w:w="4605" w:type="dxa"/>
          </w:tcPr>
          <w:p w:rsidR="00D2084E" w:rsidRDefault="00000000" w14:paraId="431929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b/>
              </w:rPr>
              <w:t>Somerset Levels - Early 2014</w:t>
            </w:r>
          </w:p>
        </w:tc>
      </w:tr>
      <w:tr w:rsidR="00D2084E" w14:paraId="52EB81A2" w14:textId="77777777">
        <w:tc>
          <w:tcPr>
            <w:tcW w:w="3375" w:type="dxa"/>
          </w:tcPr>
          <w:p w:rsidR="00D2084E" w:rsidRDefault="00000000" w14:paraId="36F75E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4) Climate Change mitigation &amp; Adaptation</w:t>
            </w:r>
          </w:p>
        </w:tc>
        <w:tc>
          <w:tcPr>
            <w:tcW w:w="4605" w:type="dxa"/>
          </w:tcPr>
          <w:p w:rsidR="00D2084E" w:rsidRDefault="00000000" w14:paraId="4AE51F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b/>
              </w:rPr>
            </w:pPr>
            <w:r>
              <w:rPr>
                <w:b/>
              </w:rPr>
              <w:t>Maldives</w:t>
            </w:r>
          </w:p>
        </w:tc>
      </w:tr>
      <w:tr w:rsidR="00D2084E" w14:paraId="60B7BB48" w14:textId="77777777">
        <w:trPr>
          <w:trHeight w:val="1698"/>
        </w:trPr>
        <w:tc>
          <w:tcPr>
            <w:tcW w:w="3375" w:type="dxa"/>
          </w:tcPr>
          <w:p w:rsidR="00D2084E" w:rsidRDefault="00000000" w14:paraId="2FD8F8F9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Small Scale Ecosystem</w:t>
            </w:r>
          </w:p>
        </w:tc>
        <w:tc>
          <w:tcPr>
            <w:tcW w:w="4605" w:type="dxa"/>
          </w:tcPr>
          <w:p w:rsidR="00D2084E" w:rsidRDefault="00000000" w14:paraId="31D4291F" w14:textId="77777777">
            <w:pPr>
              <w:spacing w:after="200" w:line="276" w:lineRule="auto"/>
              <w:rPr>
                <w:b/>
              </w:rPr>
            </w:pPr>
            <w:r>
              <w:t>Any small-scale ecosystem – hedgerow, woodland, sand dune, pond etc</w:t>
            </w:r>
            <w:r>
              <w:rPr>
                <w:b/>
              </w:rPr>
              <w:t>.</w:t>
            </w:r>
          </w:p>
          <w:p w:rsidR="00D2084E" w:rsidRDefault="00000000" w14:paraId="333A5ABC" w14:textId="777777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Fresh Water Pond</w:t>
            </w:r>
          </w:p>
        </w:tc>
      </w:tr>
      <w:tr w:rsidR="00D2084E" w14:paraId="75AB0DC4" w14:textId="77777777">
        <w:tc>
          <w:tcPr>
            <w:tcW w:w="3375" w:type="dxa"/>
          </w:tcPr>
          <w:p w:rsidR="00D2084E" w:rsidRDefault="00000000" w14:paraId="0398A2F6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Coastal management</w:t>
            </w:r>
          </w:p>
        </w:tc>
        <w:tc>
          <w:tcPr>
            <w:tcW w:w="4605" w:type="dxa"/>
          </w:tcPr>
          <w:p w:rsidR="00D2084E" w:rsidRDefault="00000000" w14:paraId="11B056C4" w14:textId="77777777">
            <w:pPr>
              <w:rPr>
                <w:b/>
              </w:rPr>
            </w:pPr>
            <w:r>
              <w:rPr>
                <w:b/>
              </w:rPr>
              <w:t>Lyme Regis</w:t>
            </w:r>
          </w:p>
          <w:p w:rsidR="00D2084E" w:rsidRDefault="00D2084E" w14:paraId="34FD54CD" w14:textId="77777777"/>
        </w:tc>
      </w:tr>
      <w:tr w:rsidR="00D2084E" w14:paraId="2DF891CF" w14:textId="77777777">
        <w:tc>
          <w:tcPr>
            <w:tcW w:w="3375" w:type="dxa"/>
          </w:tcPr>
          <w:p w:rsidR="00D2084E" w:rsidRDefault="00000000" w14:paraId="3E3C1B7A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Coastal landforms</w:t>
            </w:r>
          </w:p>
        </w:tc>
        <w:tc>
          <w:tcPr>
            <w:tcW w:w="4605" w:type="dxa"/>
          </w:tcPr>
          <w:p w:rsidR="00D2084E" w:rsidRDefault="00000000" w14:paraId="22F6FA27" w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Swanage</w:t>
            </w:r>
            <w:proofErr w:type="spellEnd"/>
          </w:p>
          <w:p w:rsidR="00D2084E" w:rsidRDefault="00000000" w14:paraId="77E7740B" w14:textId="77777777">
            <w:r>
              <w:t xml:space="preserve">(Geology </w:t>
            </w:r>
            <w:proofErr w:type="spellStart"/>
            <w:r>
              <w:t>affects</w:t>
            </w:r>
            <w:proofErr w:type="spellEnd"/>
            <w:r>
              <w:t xml:space="preserve"> on Coasts)</w:t>
            </w:r>
          </w:p>
          <w:p w:rsidR="00D2084E" w:rsidRDefault="00D2084E" w14:paraId="055BCDF3" w14:textId="77777777"/>
        </w:tc>
      </w:tr>
      <w:tr w:rsidR="00D2084E" w14:paraId="481782E9" w14:textId="77777777">
        <w:tc>
          <w:tcPr>
            <w:tcW w:w="3375" w:type="dxa"/>
          </w:tcPr>
          <w:p w:rsidR="00D2084E" w:rsidRDefault="00000000" w14:paraId="33FE8452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River valley landforms</w:t>
            </w:r>
          </w:p>
        </w:tc>
        <w:tc>
          <w:tcPr>
            <w:tcW w:w="4605" w:type="dxa"/>
          </w:tcPr>
          <w:p w:rsidR="00D2084E" w:rsidRDefault="00000000" w14:paraId="46271AA0" w14:textId="77777777">
            <w:pPr>
              <w:rPr>
                <w:b/>
              </w:rPr>
            </w:pPr>
            <w:r>
              <w:rPr>
                <w:b/>
              </w:rPr>
              <w:t xml:space="preserve">River Tees </w:t>
            </w:r>
          </w:p>
          <w:p w:rsidR="00D2084E" w:rsidRDefault="00000000" w14:paraId="653547FC" w14:textId="77777777">
            <w:r>
              <w:t>(Map skills with rivers)</w:t>
            </w:r>
          </w:p>
        </w:tc>
      </w:tr>
      <w:tr w:rsidR="00D2084E" w14:paraId="454F8550" w14:textId="77777777">
        <w:tc>
          <w:tcPr>
            <w:tcW w:w="3375" w:type="dxa"/>
          </w:tcPr>
          <w:p w:rsidR="00D2084E" w:rsidRDefault="00000000" w14:paraId="490601DB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River management</w:t>
            </w:r>
          </w:p>
        </w:tc>
        <w:tc>
          <w:tcPr>
            <w:tcW w:w="4605" w:type="dxa"/>
          </w:tcPr>
          <w:p w:rsidR="00D2084E" w:rsidRDefault="00000000" w14:paraId="068206E7" w14:textId="77777777">
            <w:pPr>
              <w:rPr>
                <w:b/>
              </w:rPr>
            </w:pPr>
            <w:r>
              <w:rPr>
                <w:b/>
              </w:rPr>
              <w:t>River Cherwell, Banbury</w:t>
            </w:r>
          </w:p>
        </w:tc>
      </w:tr>
    </w:tbl>
    <w:p w:rsidR="00D2084E" w:rsidRDefault="00D2084E" w14:paraId="16BA2D26" w14:textId="77777777">
      <w:pPr>
        <w:spacing w:after="0" w:line="240" w:lineRule="auto"/>
      </w:pPr>
    </w:p>
    <w:p w:rsidR="00D2084E" w:rsidRDefault="00D2084E" w14:paraId="7F62D189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0D0D6098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553F6961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7CBA96FC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1D3F3F34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000000" w14:paraId="1E6878E5" w14:textId="77777777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Physical Case studies</w:t>
      </w:r>
    </w:p>
    <w:tbl>
      <w:tblPr>
        <w:tblStyle w:val="a0"/>
        <w:tblW w:w="15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2048"/>
        <w:gridCol w:w="1418"/>
      </w:tblGrid>
      <w:tr w:rsidR="00D2084E" w14:paraId="3EC0C84F" w14:textId="77777777">
        <w:trPr>
          <w:trHeight w:val="235"/>
        </w:trPr>
        <w:tc>
          <w:tcPr>
            <w:tcW w:w="2235" w:type="dxa"/>
          </w:tcPr>
          <w:p w:rsidR="00D2084E" w:rsidRDefault="00D2084E" w14:paraId="28F2BC37" w14:textId="77777777"/>
        </w:tc>
        <w:tc>
          <w:tcPr>
            <w:tcW w:w="12048" w:type="dxa"/>
          </w:tcPr>
          <w:p w:rsidR="00D2084E" w:rsidRDefault="00000000" w14:paraId="032B475A" w14:textId="77777777">
            <w:r>
              <w:t>Wording</w:t>
            </w:r>
          </w:p>
        </w:tc>
        <w:tc>
          <w:tcPr>
            <w:tcW w:w="1418" w:type="dxa"/>
          </w:tcPr>
          <w:p w:rsidR="00D2084E" w:rsidRDefault="00000000" w14:paraId="2E5CF21B" w14:textId="77777777">
            <w:r>
              <w:t>Example</w:t>
            </w:r>
          </w:p>
        </w:tc>
      </w:tr>
      <w:tr w:rsidR="00D2084E" w14:paraId="4A03FD2E" w14:textId="77777777">
        <w:trPr>
          <w:trHeight w:val="1848"/>
        </w:trPr>
        <w:tc>
          <w:tcPr>
            <w:tcW w:w="2235" w:type="dxa"/>
          </w:tcPr>
          <w:p w:rsidR="00D2084E" w:rsidRDefault="00000000" w14:paraId="04D148A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Tropical Rainforest</w:t>
            </w:r>
          </w:p>
        </w:tc>
        <w:tc>
          <w:tcPr>
            <w:tcW w:w="12048" w:type="dxa"/>
          </w:tcPr>
          <w:p w:rsidR="00D2084E" w:rsidRDefault="00000000" w14:paraId="6BDD1338" w14:textId="77777777">
            <w:r>
              <w:t>Changing rates of deforestation.</w:t>
            </w:r>
          </w:p>
          <w:p w:rsidR="00D2084E" w:rsidRDefault="00000000" w14:paraId="1B374268" w14:textId="77777777">
            <w:r>
              <w:t>A case study of a tropical rainforest to illustrate:</w:t>
            </w:r>
          </w:p>
          <w:p w:rsidR="00D2084E" w:rsidRDefault="00000000" w14:paraId="31FB5B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causes of deforestation – subsistence and commercial farming, logging, road building, mineral extraction, energy development, settlement, population growth</w:t>
            </w:r>
          </w:p>
          <w:p w:rsidR="00D2084E" w:rsidRDefault="00000000" w14:paraId="12EDA3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impacts of deforestation - economic development, soil erosion, loss of biodiversity, contribution to climate change.</w:t>
            </w:r>
          </w:p>
        </w:tc>
        <w:tc>
          <w:tcPr>
            <w:tcW w:w="1418" w:type="dxa"/>
          </w:tcPr>
          <w:p w:rsidR="00D2084E" w:rsidRDefault="00000000" w14:paraId="4193467D" w14:textId="777777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Malaysian</w:t>
            </w:r>
          </w:p>
        </w:tc>
      </w:tr>
      <w:tr w:rsidR="00D2084E" w14:paraId="4E1F3697" w14:textId="77777777">
        <w:trPr>
          <w:trHeight w:val="235"/>
        </w:trPr>
        <w:tc>
          <w:tcPr>
            <w:tcW w:w="2235" w:type="dxa"/>
          </w:tcPr>
          <w:p w:rsidR="00D2084E" w:rsidRDefault="00000000" w14:paraId="1614AA6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 xml:space="preserve">Management of Tropical Rainforest to be sustainable </w:t>
            </w:r>
          </w:p>
        </w:tc>
        <w:tc>
          <w:tcPr>
            <w:tcW w:w="12048" w:type="dxa"/>
          </w:tcPr>
          <w:p w:rsidR="00D2084E" w:rsidRDefault="00000000" w14:paraId="31D9D8FB" w14:textId="77777777">
            <w:r>
              <w:t>Value of tropical rainforests to people and the environment.</w:t>
            </w:r>
          </w:p>
          <w:p w:rsidR="00D2084E" w:rsidRDefault="00000000" w14:paraId="0D65EB6E" w14:textId="77777777">
            <w:r>
              <w:t>Strategies used to manage the rainforest sustainably:</w:t>
            </w:r>
          </w:p>
          <w:p w:rsidR="00D2084E" w:rsidRDefault="00000000" w14:paraId="1A0591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selective logging and replanting</w:t>
            </w:r>
          </w:p>
          <w:p w:rsidR="00D2084E" w:rsidRDefault="00000000" w14:paraId="629ACB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conservation and education</w:t>
            </w:r>
          </w:p>
          <w:p w:rsidR="00D2084E" w:rsidRDefault="00000000" w14:paraId="678A8C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ecotourism and international agreements about the use of tropical hardwoods</w:t>
            </w:r>
          </w:p>
          <w:p w:rsidR="00D2084E" w:rsidRDefault="00000000" w14:paraId="494F7A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debt reduction.</w:t>
            </w:r>
          </w:p>
          <w:p w:rsidR="00D2084E" w:rsidRDefault="00D2084E" w14:paraId="092A1A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QA Chevin Pro Medium" w:hAnsi="AQA Chevin Pro Medium" w:eastAsia="AQA Chevin Pro Medium" w:cs="AQA Chevin Pro Medium"/>
                <w:color w:val="000000"/>
              </w:rPr>
            </w:pPr>
          </w:p>
        </w:tc>
        <w:tc>
          <w:tcPr>
            <w:tcW w:w="1418" w:type="dxa"/>
          </w:tcPr>
          <w:p w:rsidR="00D2084E" w:rsidRDefault="00000000" w14:paraId="2F36386B" w14:textId="777777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Malaysian</w:t>
            </w:r>
          </w:p>
        </w:tc>
      </w:tr>
      <w:tr w:rsidR="00D2084E" w14:paraId="43AC5B86" w14:textId="77777777">
        <w:trPr>
          <w:trHeight w:val="235"/>
        </w:trPr>
        <w:tc>
          <w:tcPr>
            <w:tcW w:w="2235" w:type="dxa"/>
          </w:tcPr>
          <w:p w:rsidR="00D2084E" w:rsidRDefault="00000000" w14:paraId="1E7E10E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Hot Deserts</w:t>
            </w:r>
          </w:p>
        </w:tc>
        <w:tc>
          <w:tcPr>
            <w:tcW w:w="12048" w:type="dxa"/>
          </w:tcPr>
          <w:p w:rsidR="00D2084E" w:rsidRDefault="00000000" w14:paraId="655B43C9" w14:textId="77777777">
            <w:r>
              <w:t>A case study of a hot desert to illustrate:</w:t>
            </w:r>
          </w:p>
          <w:p w:rsidR="00D2084E" w:rsidRDefault="00000000" w14:paraId="794456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development opportunities in hot desert environments: mineral extraction, energy, farming, tourism</w:t>
            </w:r>
          </w:p>
          <w:p w:rsidR="00D2084E" w:rsidRDefault="00000000" w14:paraId="4DA431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challenges of developing hot desert environments: extreme temperatures, water supply, inaccessibility.</w:t>
            </w:r>
          </w:p>
        </w:tc>
        <w:tc>
          <w:tcPr>
            <w:tcW w:w="1418" w:type="dxa"/>
          </w:tcPr>
          <w:p w:rsidR="00D2084E" w:rsidRDefault="00000000" w14:paraId="2F1E97A5" w14:textId="77777777">
            <w:pPr>
              <w:rPr>
                <w:b/>
              </w:rPr>
            </w:pPr>
            <w:r>
              <w:rPr>
                <w:b/>
              </w:rPr>
              <w:t>Thar</w:t>
            </w:r>
          </w:p>
        </w:tc>
      </w:tr>
    </w:tbl>
    <w:p w:rsidR="00D2084E" w:rsidRDefault="00D2084E" w14:paraId="46400191" w14:textId="77777777">
      <w:pPr>
        <w:spacing w:after="0" w:line="240" w:lineRule="auto"/>
      </w:pPr>
    </w:p>
    <w:p w:rsidR="00D2084E" w:rsidRDefault="00D2084E" w14:paraId="2088E202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3E532165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16350226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0AA03936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3FBF7215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2E886293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413A7E2A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7C06E626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2FB8384A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49544BB8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000000" w14:paraId="41E9ADB5" w14:textId="77777777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Human Examples</w:t>
      </w:r>
    </w:p>
    <w:tbl>
      <w:tblPr>
        <w:tblStyle w:val="a1"/>
        <w:tblW w:w="7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3825"/>
      </w:tblGrid>
      <w:tr w:rsidR="00D2084E" w14:paraId="3C27C37E" w14:textId="77777777">
        <w:trPr>
          <w:trHeight w:val="226"/>
        </w:trPr>
        <w:tc>
          <w:tcPr>
            <w:tcW w:w="3645" w:type="dxa"/>
          </w:tcPr>
          <w:p w:rsidR="00D2084E" w:rsidRDefault="00D2084E" w14:paraId="3CB9C6C1" w14:textId="77777777"/>
        </w:tc>
        <w:tc>
          <w:tcPr>
            <w:tcW w:w="3825" w:type="dxa"/>
          </w:tcPr>
          <w:p w:rsidR="00D2084E" w:rsidRDefault="00000000" w14:paraId="3E0AB753" w14:textId="77777777">
            <w:r>
              <w:t>Ex</w:t>
            </w:r>
          </w:p>
        </w:tc>
      </w:tr>
      <w:tr w:rsidR="00D2084E" w14:paraId="7E1AA1F5" w14:textId="77777777">
        <w:trPr>
          <w:trHeight w:val="833"/>
        </w:trPr>
        <w:tc>
          <w:tcPr>
            <w:tcW w:w="3645" w:type="dxa"/>
          </w:tcPr>
          <w:p w:rsidR="00D2084E" w:rsidRDefault="00000000" w14:paraId="5C83988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 xml:space="preserve">Urban Planning (NEE </w:t>
            </w:r>
            <w:r>
              <w:rPr>
                <w:strike/>
                <w:color w:val="000000"/>
                <w:sz w:val="22"/>
                <w:szCs w:val="22"/>
              </w:rPr>
              <w:t>or LIC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5" w:type="dxa"/>
          </w:tcPr>
          <w:p w:rsidR="00D2084E" w:rsidRDefault="00000000" w14:paraId="3F7F787E" w14:textId="77777777">
            <w:pPr>
              <w:rPr>
                <w:b/>
              </w:rPr>
            </w:pPr>
            <w:r>
              <w:rPr>
                <w:b/>
              </w:rPr>
              <w:t>Rio – Brazil</w:t>
            </w:r>
          </w:p>
          <w:p w:rsidR="00D2084E" w:rsidRDefault="00AA6196" w14:paraId="183E4082" w14:textId="02E6B385">
            <w:pPr>
              <w:rPr>
                <w:b/>
              </w:rPr>
            </w:pPr>
            <w:r>
              <w:rPr>
                <w:b/>
              </w:rPr>
              <w:t>Rocinha</w:t>
            </w:r>
            <w:r w:rsidR="00000000">
              <w:rPr>
                <w:b/>
              </w:rPr>
              <w:t xml:space="preserve"> – Rio </w:t>
            </w:r>
          </w:p>
          <w:p w:rsidR="00D2084E" w:rsidRDefault="00D2084E" w14:paraId="273D80B0" w14:textId="77777777"/>
          <w:p w:rsidR="00D2084E" w:rsidRDefault="00D2084E" w14:paraId="7D7EA205" w14:textId="77777777"/>
        </w:tc>
      </w:tr>
      <w:tr w:rsidR="00D2084E" w14:paraId="5332C2D0" w14:textId="77777777">
        <w:trPr>
          <w:trHeight w:val="226"/>
        </w:trPr>
        <w:tc>
          <w:tcPr>
            <w:tcW w:w="3645" w:type="dxa"/>
          </w:tcPr>
          <w:p w:rsidR="00D2084E" w:rsidRDefault="00000000" w14:paraId="5EC435D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Urban regeneration (UK)</w:t>
            </w:r>
          </w:p>
          <w:p w:rsidR="00D2084E" w:rsidRDefault="00000000" w14:paraId="2852E428" w14:textId="77777777">
            <w:r>
              <w:t>And Sustainable living</w:t>
            </w:r>
          </w:p>
        </w:tc>
        <w:tc>
          <w:tcPr>
            <w:tcW w:w="3825" w:type="dxa"/>
          </w:tcPr>
          <w:p w:rsidR="00D2084E" w:rsidRDefault="00000000" w14:paraId="0F07A4F5" w14:textId="77777777">
            <w:pPr>
              <w:rPr>
                <w:b/>
              </w:rPr>
            </w:pPr>
            <w:r>
              <w:rPr>
                <w:b/>
              </w:rPr>
              <w:t>Temple Quarter – Bristol</w:t>
            </w:r>
          </w:p>
          <w:p w:rsidR="00D2084E" w:rsidRDefault="00D2084E" w14:paraId="334FF6FD" w14:textId="77777777"/>
          <w:p w:rsidR="00D2084E" w:rsidRDefault="00AA6196" w14:paraId="1DC3134A" w14:textId="725DDAA1">
            <w:pPr>
              <w:rPr>
                <w:b/>
              </w:rPr>
            </w:pPr>
            <w:r>
              <w:rPr>
                <w:b/>
              </w:rPr>
              <w:t>Freiburg</w:t>
            </w:r>
            <w:r w:rsidR="00000000">
              <w:rPr>
                <w:b/>
              </w:rPr>
              <w:t>, Germany (Living and Transport plan)</w:t>
            </w:r>
          </w:p>
          <w:p w:rsidR="00D2084E" w:rsidRDefault="00D2084E" w14:paraId="5FC7CD61" w14:textId="77777777">
            <w:pPr>
              <w:rPr>
                <w:b/>
              </w:rPr>
            </w:pPr>
          </w:p>
          <w:p w:rsidR="00D2084E" w:rsidRDefault="00000000" w14:paraId="0F1EF7BB" w14:textId="77777777">
            <w:pPr>
              <w:rPr>
                <w:b/>
              </w:rPr>
            </w:pPr>
            <w:r>
              <w:rPr>
                <w:b/>
              </w:rPr>
              <w:t>London Congestion Charge</w:t>
            </w:r>
          </w:p>
          <w:p w:rsidR="00D2084E" w:rsidRDefault="00D2084E" w14:paraId="32126D38" w14:textId="77777777">
            <w:pPr>
              <w:rPr>
                <w:b/>
              </w:rPr>
            </w:pPr>
          </w:p>
          <w:p w:rsidR="00D2084E" w:rsidRDefault="00D2084E" w14:paraId="07F4BE3C" w14:textId="77777777">
            <w:pPr>
              <w:rPr>
                <w:b/>
              </w:rPr>
            </w:pPr>
          </w:p>
        </w:tc>
      </w:tr>
      <w:tr w:rsidR="00D2084E" w14:paraId="06FF4868" w14:textId="77777777">
        <w:trPr>
          <w:trHeight w:val="678"/>
        </w:trPr>
        <w:tc>
          <w:tcPr>
            <w:tcW w:w="3645" w:type="dxa"/>
          </w:tcPr>
          <w:p w:rsidR="00D2084E" w:rsidRDefault="00AA6196" w14:paraId="5D68762F" w14:textId="38B4B7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3825" w:type="dxa"/>
          </w:tcPr>
          <w:p w:rsidR="00D2084E" w:rsidRDefault="00AA6196" w14:paraId="0B8AD400" w14:textId="649C022F">
            <w:pPr>
              <w:rPr>
                <w:b/>
              </w:rPr>
            </w:pPr>
            <w:r>
              <w:rPr>
                <w:b/>
              </w:rPr>
              <w:t>Lesotho Highland Water Project</w:t>
            </w:r>
          </w:p>
          <w:p w:rsidR="00D2084E" w:rsidRDefault="00AA6196" w14:paraId="67F3BF31" w14:textId="4D256872">
            <w:pPr>
              <w:rPr>
                <w:b/>
              </w:rPr>
            </w:pPr>
            <w:proofErr w:type="spellStart"/>
            <w:r>
              <w:rPr>
                <w:b/>
              </w:rPr>
              <w:t>Wakel</w:t>
            </w:r>
            <w:proofErr w:type="spellEnd"/>
            <w:r>
              <w:rPr>
                <w:b/>
              </w:rPr>
              <w:t xml:space="preserve"> River Basin Project</w:t>
            </w:r>
          </w:p>
          <w:p w:rsidR="00D2084E" w:rsidRDefault="00D2084E" w14:paraId="0CFAA7AD" w14:textId="77777777">
            <w:pPr>
              <w:rPr>
                <w:b/>
              </w:rPr>
            </w:pPr>
          </w:p>
        </w:tc>
      </w:tr>
    </w:tbl>
    <w:p w:rsidR="00D2084E" w:rsidRDefault="00D2084E" w14:paraId="0A8965DF" w14:textId="77777777">
      <w:pPr>
        <w:spacing w:after="0" w:line="240" w:lineRule="auto"/>
        <w:rPr>
          <w:b/>
          <w:u w:val="single"/>
        </w:rPr>
      </w:pPr>
    </w:p>
    <w:p w:rsidR="00D2084E" w:rsidRDefault="00D2084E" w14:paraId="5415D64E" w14:textId="77777777">
      <w:pPr>
        <w:spacing w:after="0" w:line="240" w:lineRule="auto"/>
        <w:rPr>
          <w:b/>
          <w:u w:val="single"/>
        </w:rPr>
      </w:pPr>
    </w:p>
    <w:p w:rsidR="00D2084E" w:rsidRDefault="00D2084E" w14:paraId="64CB5450" w14:textId="77777777">
      <w:pPr>
        <w:spacing w:after="0" w:line="240" w:lineRule="auto"/>
        <w:rPr>
          <w:b/>
          <w:u w:val="single"/>
        </w:rPr>
      </w:pPr>
    </w:p>
    <w:p w:rsidR="00D2084E" w:rsidRDefault="00D2084E" w14:paraId="676E6311" w14:textId="77777777">
      <w:pPr>
        <w:spacing w:after="0" w:line="240" w:lineRule="auto"/>
        <w:rPr>
          <w:b/>
          <w:u w:val="single"/>
        </w:rPr>
      </w:pPr>
    </w:p>
    <w:p w:rsidR="00D2084E" w:rsidRDefault="00D2084E" w14:paraId="10DB737F" w14:textId="77777777">
      <w:pPr>
        <w:spacing w:after="0" w:line="240" w:lineRule="auto"/>
        <w:rPr>
          <w:b/>
          <w:u w:val="single"/>
        </w:rPr>
      </w:pPr>
    </w:p>
    <w:p w:rsidR="00D2084E" w:rsidRDefault="00D2084E" w14:paraId="4DEA8D54" w14:textId="77777777">
      <w:pPr>
        <w:spacing w:after="0" w:line="240" w:lineRule="auto"/>
        <w:rPr>
          <w:b/>
          <w:u w:val="single"/>
        </w:rPr>
      </w:pPr>
    </w:p>
    <w:p w:rsidR="00D2084E" w:rsidRDefault="00D2084E" w14:paraId="3A3CA037" w14:textId="77777777">
      <w:pPr>
        <w:spacing w:after="0" w:line="240" w:lineRule="auto"/>
        <w:rPr>
          <w:b/>
          <w:u w:val="single"/>
        </w:rPr>
      </w:pPr>
    </w:p>
    <w:p w:rsidR="00D2084E" w:rsidRDefault="00D2084E" w14:paraId="42DB2982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6CD43DA9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254E69A4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4C378C1F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D2084E" w14:paraId="0A076F69" w14:textId="77777777">
      <w:pPr>
        <w:spacing w:after="0" w:line="240" w:lineRule="auto"/>
        <w:rPr>
          <w:b/>
          <w:sz w:val="36"/>
          <w:szCs w:val="36"/>
          <w:u w:val="single"/>
        </w:rPr>
      </w:pPr>
    </w:p>
    <w:p w:rsidR="00D2084E" w:rsidRDefault="00000000" w14:paraId="5A49C312" w14:textId="77777777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Human Case studies</w:t>
      </w:r>
    </w:p>
    <w:tbl>
      <w:tblPr>
        <w:tblStyle w:val="a2"/>
        <w:tblW w:w="15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3199"/>
        <w:gridCol w:w="976"/>
      </w:tblGrid>
      <w:tr w:rsidR="00D2084E" w14:paraId="36FF37B9" w14:textId="77777777">
        <w:trPr>
          <w:trHeight w:val="182"/>
        </w:trPr>
        <w:tc>
          <w:tcPr>
            <w:tcW w:w="1526" w:type="dxa"/>
          </w:tcPr>
          <w:p w:rsidR="00D2084E" w:rsidRDefault="00D2084E" w14:paraId="5ACD5EA8" w14:textId="77777777"/>
        </w:tc>
        <w:tc>
          <w:tcPr>
            <w:tcW w:w="13199" w:type="dxa"/>
          </w:tcPr>
          <w:p w:rsidR="00D2084E" w:rsidRDefault="00000000" w14:paraId="13B53A10" w14:textId="77777777">
            <w:r>
              <w:t>Wording</w:t>
            </w:r>
          </w:p>
        </w:tc>
        <w:tc>
          <w:tcPr>
            <w:tcW w:w="976" w:type="dxa"/>
          </w:tcPr>
          <w:p w:rsidR="00D2084E" w:rsidRDefault="00000000" w14:paraId="2A8121E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</w:t>
            </w:r>
          </w:p>
        </w:tc>
      </w:tr>
      <w:tr w:rsidR="00D2084E" w14:paraId="5BF3E4C7" w14:textId="77777777">
        <w:trPr>
          <w:trHeight w:val="182"/>
        </w:trPr>
        <w:tc>
          <w:tcPr>
            <w:tcW w:w="1526" w:type="dxa"/>
          </w:tcPr>
          <w:p w:rsidR="00D2084E" w:rsidRDefault="00000000" w14:paraId="780977A4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Major LIC/NEE city</w:t>
            </w:r>
          </w:p>
        </w:tc>
        <w:tc>
          <w:tcPr>
            <w:tcW w:w="13199" w:type="dxa"/>
          </w:tcPr>
          <w:p w:rsidR="00D2084E" w:rsidRDefault="00000000" w14:paraId="1E3FBAB4" w14:textId="77777777">
            <w:r>
              <w:t>A case study of a major city in an LIC or NEE to illustrate:</w:t>
            </w:r>
          </w:p>
          <w:p w:rsidR="00D2084E" w:rsidRDefault="00000000" w14:paraId="0DEA43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the location and importance of the city, regionally, nationally and internationally</w:t>
            </w:r>
          </w:p>
          <w:p w:rsidR="00D2084E" w:rsidRDefault="00000000" w14:paraId="6F1B95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causes of growth: natural increase and migration</w:t>
            </w:r>
          </w:p>
          <w:p w:rsidR="00D2084E" w:rsidRDefault="00000000" w14:paraId="1032F9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how urban growth has created opportunities:</w:t>
            </w:r>
          </w:p>
          <w:p w:rsidR="00D2084E" w:rsidRDefault="00000000" w14:paraId="0E89715F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social: access to services – health, education; access to resources -water supply, energy</w:t>
            </w:r>
          </w:p>
          <w:p w:rsidR="00D2084E" w:rsidRDefault="00000000" w14:paraId="49CEF079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economic: how urban industrial areas can be a stimulus for economic development.</w:t>
            </w:r>
          </w:p>
        </w:tc>
        <w:tc>
          <w:tcPr>
            <w:tcW w:w="976" w:type="dxa"/>
          </w:tcPr>
          <w:p w:rsidR="00D2084E" w:rsidRDefault="00000000" w14:paraId="22EC3D2E" w14:textId="77777777">
            <w:pPr>
              <w:rPr>
                <w:b/>
              </w:rPr>
            </w:pPr>
            <w:r>
              <w:rPr>
                <w:b/>
              </w:rPr>
              <w:t>Rio de Janeiro</w:t>
            </w:r>
          </w:p>
        </w:tc>
      </w:tr>
      <w:tr w:rsidR="00D2084E" w14:paraId="4AE76D69" w14:textId="77777777">
        <w:trPr>
          <w:trHeight w:val="182"/>
        </w:trPr>
        <w:tc>
          <w:tcPr>
            <w:tcW w:w="1526" w:type="dxa"/>
          </w:tcPr>
          <w:p w:rsidR="00D2084E" w:rsidRDefault="00000000" w14:paraId="369C82A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  <w:sz w:val="22"/>
                <w:szCs w:val="22"/>
              </w:rPr>
              <w:t>UK Major City</w:t>
            </w:r>
          </w:p>
        </w:tc>
        <w:tc>
          <w:tcPr>
            <w:tcW w:w="13199" w:type="dxa"/>
          </w:tcPr>
          <w:p w:rsidR="00D2084E" w:rsidRDefault="00000000" w14:paraId="2D4E25A1" w14:textId="77777777">
            <w:r>
              <w:t>Overview of the distribution of population and the major cities in the UK.</w:t>
            </w:r>
          </w:p>
          <w:p w:rsidR="00D2084E" w:rsidRDefault="00000000" w14:paraId="2A0651DA" w14:textId="77777777">
            <w:r>
              <w:t>A case study of a major city in the UK to illustrate:</w:t>
            </w:r>
          </w:p>
          <w:p w:rsidR="00D2084E" w:rsidRDefault="00000000" w14:paraId="4F7EF3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the location and importance of the city in the UK and the wider world</w:t>
            </w:r>
          </w:p>
          <w:p w:rsidR="00D2084E" w:rsidRDefault="00000000" w14:paraId="544333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impacts of national and international migration on the growth and character of the city</w:t>
            </w:r>
          </w:p>
          <w:p w:rsidR="00D2084E" w:rsidRDefault="00000000" w14:paraId="31086F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how urban change has created opportunities:</w:t>
            </w:r>
          </w:p>
          <w:p w:rsidR="00D2084E" w:rsidRDefault="00000000" w14:paraId="2BA2B0D2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social and economic: cultural mix, recreation and entertainment, employment, integrated transport systems</w:t>
            </w:r>
          </w:p>
          <w:p w:rsidR="00D2084E" w:rsidRDefault="00000000" w14:paraId="1B662595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environmental: urban greening</w:t>
            </w:r>
          </w:p>
          <w:p w:rsidR="00D2084E" w:rsidRDefault="00000000" w14:paraId="38BC8E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how urban change has created challenges:</w:t>
            </w:r>
          </w:p>
          <w:p w:rsidR="00D2084E" w:rsidRDefault="00000000" w14:paraId="34C43D71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social and economic: urban deprivation, inequalities in housing, education, health and employment</w:t>
            </w:r>
          </w:p>
          <w:p w:rsidR="00D2084E" w:rsidRDefault="00000000" w14:paraId="6775F0FD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 xml:space="preserve">environmental: dereliction, building on brownfield sites, waste disposal </w:t>
            </w:r>
          </w:p>
          <w:p w:rsidR="00D2084E" w:rsidRDefault="00000000" w14:paraId="32AB0B0E" w14:textId="77777777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QA Chevin Pro Medium" w:hAnsi="AQA Chevin Pro Medium" w:eastAsia="AQA Chevin Pro Medium" w:cs="AQA Chevin Pro Medium"/>
                <w:color w:val="000000"/>
              </w:rPr>
            </w:pPr>
            <w:r>
              <w:rPr>
                <w:rFonts w:ascii="AQA Chevin Pro Medium" w:hAnsi="AQA Chevin Pro Medium" w:eastAsia="AQA Chevin Pro Medium" w:cs="AQA Chevin Pro Medium"/>
                <w:color w:val="000000"/>
              </w:rPr>
              <w:t>the impact of urban sprawl on the rural-urban fringe and the growth of commuter settlements.</w:t>
            </w:r>
          </w:p>
          <w:p w:rsidR="00D2084E" w:rsidRDefault="00D2084E" w14:paraId="66D3D633" w14:textId="77777777"/>
        </w:tc>
        <w:tc>
          <w:tcPr>
            <w:tcW w:w="976" w:type="dxa"/>
          </w:tcPr>
          <w:p w:rsidR="00D2084E" w:rsidRDefault="00000000" w14:paraId="67CD529E" w14:textId="77777777">
            <w:pPr>
              <w:rPr>
                <w:b/>
              </w:rPr>
            </w:pPr>
            <w:r>
              <w:rPr>
                <w:b/>
              </w:rPr>
              <w:t xml:space="preserve">Bristol </w:t>
            </w:r>
          </w:p>
        </w:tc>
      </w:tr>
    </w:tbl>
    <w:p w:rsidR="00D2084E" w:rsidRDefault="00D2084E" w14:paraId="2B5D3235" w14:textId="77777777">
      <w:pPr>
        <w:rPr>
          <w:b/>
          <w:u w:val="single"/>
        </w:rPr>
      </w:pPr>
    </w:p>
    <w:sectPr w:rsidR="00D2084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QA Chevin Pro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953"/>
    <w:multiLevelType w:val="multilevel"/>
    <w:tmpl w:val="97DAF1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61DC6"/>
    <w:multiLevelType w:val="multilevel"/>
    <w:tmpl w:val="D31EB1A8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6868AA"/>
    <w:multiLevelType w:val="multilevel"/>
    <w:tmpl w:val="30F806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433"/>
    <w:multiLevelType w:val="multilevel"/>
    <w:tmpl w:val="14DA70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210F1"/>
    <w:multiLevelType w:val="multilevel"/>
    <w:tmpl w:val="5A18A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91D7430"/>
    <w:multiLevelType w:val="multilevel"/>
    <w:tmpl w:val="58E817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641EE"/>
    <w:multiLevelType w:val="multilevel"/>
    <w:tmpl w:val="27CC1230"/>
    <w:lvl w:ilvl="0">
      <w:start w:val="1"/>
      <w:numFmt w:val="decimal"/>
      <w:pStyle w:val="Bullet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Lis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2726835">
    <w:abstractNumId w:val="3"/>
  </w:num>
  <w:num w:numId="2" w16cid:durableId="32315563">
    <w:abstractNumId w:val="0"/>
  </w:num>
  <w:num w:numId="3" w16cid:durableId="1698387475">
    <w:abstractNumId w:val="2"/>
  </w:num>
  <w:num w:numId="4" w16cid:durableId="1564371134">
    <w:abstractNumId w:val="5"/>
  </w:num>
  <w:num w:numId="5" w16cid:durableId="1564178998">
    <w:abstractNumId w:val="4"/>
  </w:num>
  <w:num w:numId="6" w16cid:durableId="922496816">
    <w:abstractNumId w:val="1"/>
  </w:num>
  <w:num w:numId="7" w16cid:durableId="60299296">
    <w:abstractNumId w:val="6"/>
  </w:num>
  <w:num w:numId="8" w16cid:durableId="750548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4E"/>
    <w:rsid w:val="00000000"/>
    <w:rsid w:val="00AA6196"/>
    <w:rsid w:val="00D2084E"/>
    <w:rsid w:val="58A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4608"/>
  <w15:docId w15:val="{65226677-2A6B-4B8C-A4D3-FF53B24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310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3103C"/>
    <w:pPr>
      <w:ind w:left="720"/>
      <w:contextualSpacing/>
    </w:pPr>
  </w:style>
  <w:style w:type="paragraph" w:styleId="BulletList1" w:customStyle="1">
    <w:name w:val="BulletList1"/>
    <w:basedOn w:val="Normal"/>
    <w:qFormat/>
    <w:rsid w:val="00181FD9"/>
    <w:pPr>
      <w:numPr>
        <w:numId w:val="7"/>
      </w:numPr>
      <w:spacing w:before="150" w:after="0" w:line="240" w:lineRule="auto"/>
    </w:pPr>
    <w:rPr>
      <w:rFonts w:ascii="AQA Chevin Pro Medium" w:hAnsi="AQA Chevin Pro Medium" w:eastAsiaTheme="minorEastAsia"/>
      <w:color w:val="000000" w:themeColor="text1"/>
      <w:sz w:val="24"/>
      <w:szCs w:val="24"/>
    </w:rPr>
  </w:style>
  <w:style w:type="paragraph" w:styleId="BulletList2" w:customStyle="1">
    <w:name w:val="BulletList2"/>
    <w:basedOn w:val="BulletList1"/>
    <w:qFormat/>
    <w:rsid w:val="00181FD9"/>
    <w:pPr>
      <w:numPr>
        <w:ilvl w:val="1"/>
      </w:numPr>
      <w:ind w:left="1134"/>
    </w:pPr>
  </w:style>
  <w:style w:type="table" w:styleId="LightList-Accent1">
    <w:name w:val="Light List Accent 1"/>
    <w:basedOn w:val="TableNormal"/>
    <w:uiPriority w:val="61"/>
    <w:semiHidden/>
    <w:unhideWhenUsed/>
    <w:rsid w:val="00ED45D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rFonts w:hint="default"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0"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TableCellBulletList" w:customStyle="1">
    <w:name w:val="TableCellBulletList"/>
    <w:basedOn w:val="Normal"/>
    <w:qFormat/>
    <w:locked/>
    <w:rsid w:val="008D5011"/>
    <w:pPr>
      <w:tabs>
        <w:tab w:val="num" w:pos="720"/>
      </w:tabs>
      <w:spacing w:after="0" w:line="240" w:lineRule="auto"/>
      <w:ind w:left="714" w:hanging="357"/>
      <w:contextualSpacing/>
    </w:pPr>
    <w:rPr>
      <w:rFonts w:ascii="Arial" w:hAnsi="Arial" w:eastAsia="Times New Roman" w:cs="Arial"/>
      <w:color w:val="000000" w:themeColor="text1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UFdALOhyOOUJX2QfXxY30Y6RjA==">AMUW2mVuMexH6Vpjxos3nJqGcUOslu22GJ+Ml5EM76k2XXRGYEp2gURje9yKtRFYOsfd5v4loHzAkr8zDwQxXqOirUiXyF5400whgfzFXP9Umfb1+nqSNKQ=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444176-63E2-451B-BE5F-7FF14AA69D28}">
  <ds:schemaRefs>
    <ds:schemaRef ds:uri="http://schemas.microsoft.com/office/2006/metadata/properties"/>
    <ds:schemaRef ds:uri="http://schemas.microsoft.com/office/infopath/2007/PartnerControls"/>
    <ds:schemaRef ds:uri="e2757e23-5f0c-48fe-8832-72515cd2ff2f"/>
    <ds:schemaRef ds:uri="d53efc21-17b2-46a0-9200-c33e5f82309d"/>
  </ds:schemaRefs>
</ds:datastoreItem>
</file>

<file path=customXml/itemProps3.xml><?xml version="1.0" encoding="utf-8"?>
<ds:datastoreItem xmlns:ds="http://schemas.openxmlformats.org/officeDocument/2006/customXml" ds:itemID="{DA6BC11E-1593-4C22-BBEB-D2516EE33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7102C-7856-4212-82F6-357CD80771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 Humphrey</dc:creator>
  <cp:lastModifiedBy>Jones, Chris</cp:lastModifiedBy>
  <cp:revision>3</cp:revision>
  <dcterms:created xsi:type="dcterms:W3CDTF">2020-06-29T09:52:00Z</dcterms:created>
  <dcterms:modified xsi:type="dcterms:W3CDTF">2023-01-30T12:06:15Z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1400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